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16DA6" w:rsidR="00E16DA6" w:rsidP="00E16DA6" w:rsidRDefault="00E16DA6" w14:paraId="5AC6343E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E16DA6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F70793" w:rsidR="00F705BE" w:rsidP="00F705BE" w:rsidRDefault="00F705BE" w14:paraId="56BFB19F" w14:textId="70B4B076">
      <w:commentRangeStart w:id="0"/>
      <w:r w:rsidRPr="00F70793">
        <w:t xml:space="preserve"> </w:t>
      </w:r>
      <w:commentRangeEnd w:id="0"/>
      <w:r w:rsidRPr="00F70793">
        <w:rPr>
          <w:rStyle w:val="CommentReference"/>
        </w:rPr>
        <w:commentReference w:id="0"/>
      </w:r>
    </w:p>
    <w:p w:rsidRPr="00F70793" w:rsidR="00CE6770" w:rsidP="000F4C76" w:rsidRDefault="00C11F10" w14:paraId="3E9DC189" w14:textId="20F79FF1">
      <w:pPr>
        <w:rPr>
          <w:b/>
          <w:sz w:val="28"/>
          <w:szCs w:val="28"/>
        </w:rPr>
      </w:pPr>
      <w:commentRangeStart w:id="1"/>
      <w:r w:rsidRPr="00F70793">
        <w:rPr>
          <w:b/>
          <w:sz w:val="28"/>
          <w:szCs w:val="28"/>
        </w:rPr>
        <w:t>Izvješće o mjerenju</w:t>
      </w:r>
      <w:commentRangeEnd w:id="1"/>
      <w:r w:rsidRPr="00F70793" w:rsidR="00EF07F2">
        <w:rPr>
          <w:rStyle w:val="CommentReference"/>
        </w:rPr>
        <w:commentReference w:id="1"/>
      </w:r>
    </w:p>
    <w:p w:rsidRPr="00F70793" w:rsidR="008D2959" w:rsidP="000F4C76" w:rsidRDefault="000F4C76" w14:paraId="05961146" w14:textId="289E66C4">
      <w:pPr>
        <w:spacing w:after="0"/>
      </w:pPr>
      <w:r w:rsidRPr="00F70793">
        <w:t xml:space="preserve">Ovo izvješće </w:t>
      </w:r>
      <w:r w:rsidRPr="00F70793" w:rsidR="00F705BE">
        <w:t xml:space="preserve">proučava i </w:t>
      </w:r>
      <w:r w:rsidRPr="00F70793">
        <w:t xml:space="preserve">procjenjuje </w:t>
      </w:r>
      <w:commentRangeStart w:id="2"/>
      <w:r w:rsidRPr="00F70793" w:rsidR="00F705BE">
        <w:t>[naziv radnog mjesta za izvješćivanje o rezultatima mjerenja]</w:t>
      </w:r>
      <w:commentRangeEnd w:id="2"/>
      <w:r w:rsidRPr="00F70793" w:rsidR="00F705BE">
        <w:rPr>
          <w:rStyle w:val="CommentReference"/>
        </w:rPr>
        <w:commentReference w:id="2"/>
      </w:r>
    </w:p>
    <w:p w:rsidRPr="00F70793" w:rsidR="008D2959" w:rsidP="008D2959" w:rsidRDefault="008D2959" w14:paraId="54222FAA" w14:textId="77777777">
      <w:pPr>
        <w:spacing w:after="0"/>
      </w:pPr>
    </w:p>
    <w:tbl>
      <w:tblPr>
        <w:tblStyle w:val="TableGrid"/>
        <w:tblW w:w="13887" w:type="dxa"/>
        <w:tblInd w:w="119" w:type="dxa"/>
        <w:tblLook w:val="04A0" w:firstRow="1" w:lastRow="0" w:firstColumn="1" w:lastColumn="0" w:noHBand="0" w:noVBand="1"/>
      </w:tblPr>
      <w:tblGrid>
        <w:gridCol w:w="1979"/>
        <w:gridCol w:w="1592"/>
        <w:gridCol w:w="1604"/>
        <w:gridCol w:w="1482"/>
        <w:gridCol w:w="1711"/>
        <w:gridCol w:w="3251"/>
        <w:gridCol w:w="2268"/>
      </w:tblGrid>
      <w:tr w:rsidRPr="00F70793" w:rsidR="00EE19C3" w:rsidTr="006B0B38" w14:paraId="3E9DC191" w14:textId="77777777">
        <w:trPr>
          <w:trHeight w:val="197"/>
        </w:trPr>
        <w:tc>
          <w:tcPr>
            <w:tcW w:w="1979" w:type="dxa"/>
            <w:shd w:val="clear" w:color="auto" w:fill="BFBFBF" w:themeFill="background1" w:themeFillShade="BF"/>
          </w:tcPr>
          <w:p w:rsidRPr="00F70793" w:rsidR="00F80CA8" w:rsidP="00C11F10" w:rsidRDefault="00C11F10" w14:paraId="3E9DC18A" w14:textId="214FBEA5">
            <w:pPr>
              <w:rPr>
                <w:rFonts w:eastAsia="Times New Roman" w:cstheme="minorHAnsi"/>
                <w:b/>
                <w:i/>
              </w:rPr>
            </w:pPr>
            <w:commentRangeStart w:id="3"/>
            <w:r w:rsidRPr="00F70793">
              <w:rPr>
                <w:rFonts w:eastAsia="Times New Roman" w:cstheme="minorHAnsi"/>
                <w:b/>
                <w:i/>
              </w:rPr>
              <w:t>Sigurnosna mjera</w:t>
            </w:r>
            <w:r w:rsidRPr="00F70793" w:rsidR="000F4C76">
              <w:rPr>
                <w:rFonts w:eastAsia="Times New Roman" w:cstheme="minorHAnsi"/>
                <w:b/>
                <w:i/>
              </w:rPr>
              <w:t xml:space="preserve"> / proce</w:t>
            </w:r>
            <w:r w:rsidRPr="00F70793" w:rsidR="00F80CA8">
              <w:rPr>
                <w:rFonts w:eastAsia="Times New Roman" w:cstheme="minorHAnsi"/>
                <w:b/>
                <w:i/>
              </w:rPr>
              <w:t xml:space="preserve">s / </w:t>
            </w:r>
            <w:r w:rsidRPr="00F70793" w:rsidR="000F4C76">
              <w:rPr>
                <w:rFonts w:eastAsia="Times New Roman" w:cstheme="minorHAnsi"/>
                <w:b/>
                <w:i/>
              </w:rPr>
              <w:t>odjel</w:t>
            </w:r>
            <w:commentRangeEnd w:id="3"/>
            <w:r w:rsidRPr="00F70793" w:rsidR="00F705BE">
              <w:rPr>
                <w:rStyle w:val="CommentReference"/>
                <w:b/>
                <w:i/>
              </w:rPr>
              <w:commentReference w:id="3"/>
            </w:r>
          </w:p>
        </w:tc>
        <w:tc>
          <w:tcPr>
            <w:tcW w:w="1592" w:type="dxa"/>
            <w:shd w:val="clear" w:color="auto" w:fill="BFBFBF" w:themeFill="background1" w:themeFillShade="BF"/>
          </w:tcPr>
          <w:p w:rsidRPr="00F70793" w:rsidR="00F80CA8" w:rsidP="00C11F10" w:rsidRDefault="000F4C76" w14:paraId="3E9DC18B" w14:textId="32EF3A7D">
            <w:pPr>
              <w:rPr>
                <w:rFonts w:eastAsia="Times New Roman" w:cstheme="minorHAnsi"/>
                <w:b/>
                <w:i/>
              </w:rPr>
            </w:pPr>
            <w:commentRangeStart w:id="4"/>
            <w:r w:rsidRPr="00F70793">
              <w:rPr>
                <w:rFonts w:eastAsia="Times New Roman" w:cstheme="minorHAnsi"/>
                <w:b/>
                <w:i/>
              </w:rPr>
              <w:t>Cilj</w:t>
            </w:r>
            <w:commentRangeEnd w:id="4"/>
            <w:r w:rsidRPr="00F70793" w:rsidR="00F705BE">
              <w:rPr>
                <w:rStyle w:val="CommentReference"/>
                <w:b/>
                <w:i/>
              </w:rPr>
              <w:commentReference w:id="4"/>
            </w:r>
          </w:p>
        </w:tc>
        <w:tc>
          <w:tcPr>
            <w:tcW w:w="1604" w:type="dxa"/>
            <w:shd w:val="clear" w:color="auto" w:fill="BFBFBF" w:themeFill="background1" w:themeFillShade="BF"/>
          </w:tcPr>
          <w:p w:rsidRPr="00F70793" w:rsidR="00F80CA8" w:rsidP="00C11F10" w:rsidRDefault="000F4C76" w14:paraId="3E9DC18D" w14:textId="03F33F06">
            <w:pPr>
              <w:rPr>
                <w:rFonts w:eastAsia="Times New Roman" w:cstheme="minorHAnsi"/>
                <w:b/>
                <w:i/>
              </w:rPr>
            </w:pPr>
            <w:r w:rsidRPr="00F70793">
              <w:rPr>
                <w:rFonts w:eastAsia="Times New Roman" w:cstheme="minorHAnsi"/>
                <w:b/>
                <w:i/>
              </w:rPr>
              <w:t>Učestalost mjerenja</w:t>
            </w:r>
          </w:p>
        </w:tc>
        <w:tc>
          <w:tcPr>
            <w:tcW w:w="1482" w:type="dxa"/>
            <w:shd w:val="clear" w:color="auto" w:fill="BFBFBF" w:themeFill="background1" w:themeFillShade="BF"/>
          </w:tcPr>
          <w:p w:rsidRPr="00F70793" w:rsidR="00F80CA8" w:rsidP="00C11F10" w:rsidRDefault="00E16DA6" w14:paraId="3E9DC18E" w14:textId="0AF3B27A">
            <w:pPr>
              <w:rPr>
                <w:rFonts w:eastAsia="Times New Roman" w:cstheme="minorHAnsi"/>
                <w:b/>
                <w:i/>
              </w:rPr>
            </w:pP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[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>ovaj se stupac ne prikazuje u ovom oglednom predlošku</w:t>
            </w: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]</w:t>
            </w:r>
          </w:p>
        </w:tc>
        <w:tc>
          <w:tcPr>
            <w:tcW w:w="1711" w:type="dxa"/>
            <w:shd w:val="clear" w:color="auto" w:fill="BFBFBF" w:themeFill="background1" w:themeFillShade="BF"/>
          </w:tcPr>
          <w:p w:rsidRPr="00F70793" w:rsidR="00F80CA8" w:rsidP="00C11F10" w:rsidRDefault="00E16DA6" w14:paraId="2DBF2AEF" w14:textId="64247D2C">
            <w:pPr>
              <w:rPr>
                <w:rFonts w:eastAsia="Times New Roman" w:cstheme="minorHAnsi"/>
                <w:b/>
                <w:i/>
              </w:rPr>
            </w:pP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[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>ovaj se stupac ne prikazuje u ovom oglednom predlošku</w:t>
            </w: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]</w:t>
            </w:r>
          </w:p>
        </w:tc>
        <w:tc>
          <w:tcPr>
            <w:tcW w:w="3251" w:type="dxa"/>
            <w:shd w:val="clear" w:color="auto" w:fill="BFBFBF" w:themeFill="background1" w:themeFillShade="BF"/>
          </w:tcPr>
          <w:p w:rsidRPr="00F70793" w:rsidR="00F80CA8" w:rsidP="00C11F10" w:rsidRDefault="00E16DA6" w14:paraId="3E9DC18F" w14:textId="15EAF983">
            <w:pPr>
              <w:rPr>
                <w:rFonts w:eastAsia="Times New Roman" w:cstheme="minorHAnsi"/>
                <w:b/>
                <w:i/>
              </w:rPr>
            </w:pP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[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>ovaj se stupac ne prikazuje u ovom oglednom predlošku</w:t>
            </w: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]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Pr="00F70793" w:rsidR="00F80CA8" w:rsidP="00C11F10" w:rsidRDefault="00E16DA6" w14:paraId="3E9DC190" w14:textId="40B6F0B0">
            <w:pPr>
              <w:rPr>
                <w:rFonts w:eastAsia="Times New Roman" w:cstheme="minorHAnsi"/>
                <w:b/>
                <w:i/>
              </w:rPr>
            </w:pP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[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>ovaj se stupac ne prikazuje u ovom oglednom predlošku</w:t>
            </w: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]</w:t>
            </w:r>
          </w:p>
        </w:tc>
      </w:tr>
      <w:tr w:rsidRPr="00F70793" w:rsidR="00D6287C" w:rsidTr="006B0B38" w14:paraId="3E9DC199" w14:textId="77777777">
        <w:tc>
          <w:tcPr>
            <w:tcW w:w="1979" w:type="dxa"/>
          </w:tcPr>
          <w:p w:rsidRPr="00F70793" w:rsidR="00F80CA8" w:rsidP="00D6287C" w:rsidRDefault="00D6287C" w14:paraId="3E9DC192" w14:textId="6E171F12">
            <w:pPr>
              <w:rPr>
                <w:i/>
                <w:color w:val="A6A6A6" w:themeColor="background1" w:themeShade="A6"/>
              </w:rPr>
            </w:pPr>
            <w:commentRangeStart w:id="5"/>
            <w:r w:rsidRPr="00F70793">
              <w:rPr>
                <w:i/>
                <w:iCs/>
                <w:color w:val="A6A6A6" w:themeColor="background1" w:themeShade="A6"/>
              </w:rPr>
              <w:t>Postupak izrade sigurnosne kopije</w:t>
            </w:r>
          </w:p>
        </w:tc>
        <w:tc>
          <w:tcPr>
            <w:tcW w:w="1592" w:type="dxa"/>
          </w:tcPr>
          <w:p w:rsidRPr="00F70793" w:rsidR="00F80CA8" w:rsidP="00D6287C" w:rsidRDefault="00D6287C" w14:paraId="3E9DC193" w14:textId="05AAA150">
            <w:pPr>
              <w:rPr>
                <w:rFonts w:eastAsia="Times New Roman" w:cstheme="minorHAnsi"/>
                <w:i/>
                <w:color w:val="A6A6A6" w:themeColor="background1" w:themeShade="A6"/>
              </w:rPr>
            </w:pPr>
            <w:r w:rsidRPr="00F70793">
              <w:rPr>
                <w:i/>
                <w:iCs/>
                <w:color w:val="A6A6A6" w:themeColor="background1" w:themeShade="A6"/>
              </w:rPr>
              <w:t>Broj neuspjelih sigurnosnih kopija može biti maksimalno 1%</w:t>
            </w:r>
          </w:p>
        </w:tc>
        <w:tc>
          <w:tcPr>
            <w:tcW w:w="1604" w:type="dxa"/>
          </w:tcPr>
          <w:p w:rsidRPr="00F70793" w:rsidR="00F80CA8" w:rsidP="00D6287C" w:rsidRDefault="00D6287C" w14:paraId="3E9DC195" w14:textId="506C657F">
            <w:pPr>
              <w:rPr>
                <w:rFonts w:eastAsia="Times New Roman" w:cstheme="minorHAnsi"/>
              </w:rPr>
            </w:pPr>
            <w:r w:rsidRPr="00F70793">
              <w:rPr>
                <w:i/>
                <w:color w:val="A6A6A6" w:themeColor="background1" w:themeShade="A6"/>
              </w:rPr>
              <w:t>Jednom mjesečno</w:t>
            </w:r>
          </w:p>
        </w:tc>
        <w:tc>
          <w:tcPr>
            <w:tcW w:w="1482" w:type="dxa"/>
          </w:tcPr>
          <w:p w:rsidRPr="00F70793" w:rsidR="00F80CA8" w:rsidP="00590620" w:rsidRDefault="00E16DA6" w14:paraId="3E9DC196" w14:textId="12F549CB">
            <w:pPr>
              <w:rPr>
                <w:rFonts w:eastAsia="Times New Roman" w:cstheme="minorHAnsi"/>
                <w:i/>
                <w:color w:val="A6A6A6" w:themeColor="background1" w:themeShade="A6"/>
              </w:rPr>
            </w:pPr>
            <w:r>
              <w:rPr>
                <w:rFonts w:eastAsia="Times New Roman" w:cstheme="minorHAnsi"/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1711" w:type="dxa"/>
          </w:tcPr>
          <w:p w:rsidRPr="00F70793" w:rsidR="00F80CA8" w:rsidP="00D6287C" w:rsidRDefault="00E16DA6" w14:paraId="16277E95" w14:textId="7685DDA1">
            <w:pPr>
              <w:rPr>
                <w:rFonts w:eastAsia="Times New Roman" w:cstheme="minorHAnsi"/>
                <w:i/>
                <w:color w:val="A6A6A6" w:themeColor="background1" w:themeShade="A6"/>
              </w:rPr>
            </w:pPr>
            <w:r>
              <w:rPr>
                <w:rFonts w:eastAsia="Times New Roman" w:cstheme="minorHAnsi"/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3251" w:type="dxa"/>
          </w:tcPr>
          <w:p w:rsidRPr="00F70793" w:rsidR="00F80CA8" w:rsidP="00D6287C" w:rsidRDefault="00E16DA6" w14:paraId="3E9DC197" w14:textId="233098FA">
            <w:pPr>
              <w:rPr>
                <w:rFonts w:eastAsia="Times New Roman" w:cstheme="minorHAnsi"/>
                <w:i/>
                <w:color w:val="A6A6A6" w:themeColor="background1" w:themeShade="A6"/>
              </w:rPr>
            </w:pPr>
            <w:r>
              <w:rPr>
                <w:rFonts w:eastAsia="Times New Roman" w:cstheme="minorHAnsi"/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2268" w:type="dxa"/>
          </w:tcPr>
          <w:p w:rsidRPr="00F70793" w:rsidR="00F80CA8" w:rsidP="00D6287C" w:rsidRDefault="00E16DA6" w14:paraId="3E9DC198" w14:textId="7D0599EF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…</w:t>
            </w:r>
            <w:commentRangeEnd w:id="5"/>
            <w:r w:rsidRPr="00F70793" w:rsidR="00EF07F2">
              <w:rPr>
                <w:rStyle w:val="CommentReference"/>
              </w:rPr>
              <w:commentReference w:id="5"/>
            </w:r>
          </w:p>
        </w:tc>
      </w:tr>
      <w:tr w:rsidRPr="00F70793" w:rsidR="00D6287C" w:rsidTr="006B0B38" w14:paraId="3E9DC1A1" w14:textId="77777777">
        <w:tc>
          <w:tcPr>
            <w:tcW w:w="1979" w:type="dxa"/>
          </w:tcPr>
          <w:p w:rsidRPr="00F70793" w:rsidR="00487B57" w:rsidP="00D6287C" w:rsidRDefault="00D6287C" w14:paraId="3E9DC19A" w14:textId="79910F08">
            <w:pPr>
              <w:rPr>
                <w:i/>
                <w:iCs/>
                <w:color w:val="A6A6A6" w:themeColor="background1" w:themeShade="A6"/>
              </w:rPr>
            </w:pPr>
            <w:r w:rsidRPr="00F70793">
              <w:rPr>
                <w:i/>
                <w:iCs/>
                <w:color w:val="A6A6A6" w:themeColor="background1" w:themeShade="A6"/>
              </w:rPr>
              <w:t>Upravljanje incidentima</w:t>
            </w:r>
          </w:p>
        </w:tc>
        <w:tc>
          <w:tcPr>
            <w:tcW w:w="1592" w:type="dxa"/>
          </w:tcPr>
          <w:p w:rsidRPr="00F70793" w:rsidR="00487B57" w:rsidP="00D6287C" w:rsidRDefault="00D6287C" w14:paraId="3E9DC19B" w14:textId="4B5686F9">
            <w:pPr>
              <w:rPr>
                <w:i/>
                <w:iCs/>
                <w:color w:val="A6A6A6" w:themeColor="background1" w:themeShade="A6"/>
              </w:rPr>
            </w:pPr>
            <w:r w:rsidRPr="00F70793">
              <w:rPr>
                <w:i/>
                <w:iCs/>
                <w:color w:val="A6A6A6" w:themeColor="background1" w:themeShade="A6"/>
              </w:rPr>
              <w:t>Smanjiti broj incidenata informacijske sigurnosti za 50% u trećem tromjesečju</w:t>
            </w:r>
          </w:p>
        </w:tc>
        <w:tc>
          <w:tcPr>
            <w:tcW w:w="1604" w:type="dxa"/>
          </w:tcPr>
          <w:p w:rsidRPr="00F70793" w:rsidR="00487B57" w:rsidP="00D6287C" w:rsidRDefault="00D6287C" w14:paraId="3E9DC19D" w14:textId="1391C33C">
            <w:pPr>
              <w:rPr>
                <w:i/>
                <w:iCs/>
                <w:color w:val="A6A6A6" w:themeColor="background1" w:themeShade="A6"/>
              </w:rPr>
            </w:pPr>
            <w:r w:rsidRPr="00F70793">
              <w:rPr>
                <w:i/>
                <w:iCs/>
                <w:color w:val="A6A6A6" w:themeColor="background1" w:themeShade="A6"/>
              </w:rPr>
              <w:t>Jednom u tromjesečju</w:t>
            </w:r>
          </w:p>
        </w:tc>
        <w:tc>
          <w:tcPr>
            <w:tcW w:w="1482" w:type="dxa"/>
          </w:tcPr>
          <w:p w:rsidRPr="00F70793" w:rsidR="00487B57" w:rsidP="00590620" w:rsidRDefault="00E16DA6" w14:paraId="3E9DC19E" w14:textId="529A1136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1711" w:type="dxa"/>
          </w:tcPr>
          <w:p w:rsidRPr="00F70793" w:rsidR="00487B57" w:rsidP="00D6287C" w:rsidRDefault="00E16DA6" w14:paraId="3A2E96A0" w14:textId="6F80CE38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3251" w:type="dxa"/>
          </w:tcPr>
          <w:p w:rsidRPr="00F70793" w:rsidR="00487B57" w:rsidP="00D6287C" w:rsidRDefault="00E16DA6" w14:paraId="3E9DC19F" w14:textId="543FCA67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2268" w:type="dxa"/>
          </w:tcPr>
          <w:p w:rsidRPr="00F70793" w:rsidR="00487B57" w:rsidP="00590620" w:rsidRDefault="00E16DA6" w14:paraId="3E9DC1A0" w14:textId="41005CC0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…</w:t>
            </w:r>
          </w:p>
        </w:tc>
      </w:tr>
      <w:tr w:rsidRPr="00F70793" w:rsidR="00D6287C" w:rsidTr="006B0B38" w14:paraId="3E9DC1A9" w14:textId="77777777">
        <w:tc>
          <w:tcPr>
            <w:tcW w:w="1979" w:type="dxa"/>
          </w:tcPr>
          <w:p w:rsidRPr="00F70793" w:rsidR="00487B57" w:rsidP="00487B57" w:rsidRDefault="00EE19C3" w14:paraId="3E9DC1A2" w14:textId="7755F368">
            <w:pPr>
              <w:rPr>
                <w:i/>
                <w:iCs/>
                <w:color w:val="A6A6A6" w:themeColor="background1" w:themeShade="A6"/>
              </w:rPr>
            </w:pPr>
            <w:r w:rsidRPr="00F70793">
              <w:rPr>
                <w:i/>
                <w:iCs/>
                <w:color w:val="A6A6A6" w:themeColor="background1" w:themeShade="A6"/>
              </w:rPr>
              <w:lastRenderedPageBreak/>
              <w:t>Neprekidno vrijeme rada informacijskih sustava</w:t>
            </w:r>
          </w:p>
        </w:tc>
        <w:tc>
          <w:tcPr>
            <w:tcW w:w="1592" w:type="dxa"/>
          </w:tcPr>
          <w:p w:rsidRPr="00F70793" w:rsidR="00487B57" w:rsidP="00487B57" w:rsidRDefault="00EE19C3" w14:paraId="3E9DC1A3" w14:textId="0049E287">
            <w:pPr>
              <w:rPr>
                <w:i/>
                <w:iCs/>
                <w:color w:val="A6A6A6" w:themeColor="background1" w:themeShade="A6"/>
              </w:rPr>
            </w:pPr>
            <w:r w:rsidRPr="00F70793">
              <w:rPr>
                <w:i/>
                <w:iCs/>
                <w:color w:val="A6A6A6" w:themeColor="background1" w:themeShade="A6"/>
              </w:rPr>
              <w:t>Neprekidno vrijeme rada iznad 99</w:t>
            </w:r>
            <w:r w:rsidRPr="00F70793" w:rsidR="0028754F">
              <w:rPr>
                <w:i/>
                <w:iCs/>
                <w:color w:val="A6A6A6" w:themeColor="background1" w:themeShade="A6"/>
              </w:rPr>
              <w:t>.</w:t>
            </w:r>
            <w:r w:rsidRPr="00F70793">
              <w:rPr>
                <w:i/>
                <w:iCs/>
                <w:color w:val="A6A6A6" w:themeColor="background1" w:themeShade="A6"/>
              </w:rPr>
              <w:t>00%</w:t>
            </w:r>
          </w:p>
        </w:tc>
        <w:tc>
          <w:tcPr>
            <w:tcW w:w="1604" w:type="dxa"/>
          </w:tcPr>
          <w:p w:rsidRPr="00F70793" w:rsidR="00487B57" w:rsidP="00487B57" w:rsidRDefault="00EE19C3" w14:paraId="3E9DC1A5" w14:textId="46588CEA">
            <w:pPr>
              <w:rPr>
                <w:i/>
                <w:iCs/>
                <w:color w:val="A6A6A6" w:themeColor="background1" w:themeShade="A6"/>
              </w:rPr>
            </w:pPr>
            <w:r w:rsidRPr="00F70793">
              <w:rPr>
                <w:i/>
                <w:iCs/>
                <w:color w:val="A6A6A6" w:themeColor="background1" w:themeShade="A6"/>
              </w:rPr>
              <w:t>Jednom mjesečno</w:t>
            </w:r>
          </w:p>
        </w:tc>
        <w:tc>
          <w:tcPr>
            <w:tcW w:w="1482" w:type="dxa"/>
          </w:tcPr>
          <w:p w:rsidRPr="00F70793" w:rsidR="00487B57" w:rsidP="00487B57" w:rsidRDefault="00E16DA6" w14:paraId="3E9DC1A6" w14:textId="19ACAF2E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1711" w:type="dxa"/>
          </w:tcPr>
          <w:p w:rsidRPr="00F70793" w:rsidR="00487B57" w:rsidP="00EE19C3" w:rsidRDefault="00E16DA6" w14:paraId="6C951E22" w14:textId="419EE894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…</w:t>
            </w:r>
            <w:r w:rsidRPr="00F70793" w:rsidR="00EE19C3">
              <w:rPr>
                <w:i/>
                <w:iCs/>
                <w:color w:val="A6A6A6" w:themeColor="background1" w:themeShade="A6"/>
              </w:rPr>
              <w:t xml:space="preserve"> </w:t>
            </w:r>
          </w:p>
        </w:tc>
        <w:tc>
          <w:tcPr>
            <w:tcW w:w="3251" w:type="dxa"/>
          </w:tcPr>
          <w:p w:rsidRPr="00F70793" w:rsidR="00487B57" w:rsidP="00EE19C3" w:rsidRDefault="00E16DA6" w14:paraId="3E9DC1A7" w14:textId="1DC23D6B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2268" w:type="dxa"/>
          </w:tcPr>
          <w:p w:rsidRPr="00F70793" w:rsidR="00487B57" w:rsidP="00487B57" w:rsidRDefault="00E16DA6" w14:paraId="3E9DC1A8" w14:textId="4722322C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…</w:t>
            </w:r>
          </w:p>
        </w:tc>
      </w:tr>
      <w:tr w:rsidRPr="00F70793" w:rsidR="00D6287C" w:rsidTr="006B0B38" w14:paraId="3E9DC1B1" w14:textId="77777777">
        <w:tc>
          <w:tcPr>
            <w:tcW w:w="1979" w:type="dxa"/>
          </w:tcPr>
          <w:p w:rsidRPr="00F70793" w:rsidR="00487B57" w:rsidP="00487B57" w:rsidRDefault="00487B57" w14:paraId="3E9DC1AA" w14:textId="77777777"/>
        </w:tc>
        <w:tc>
          <w:tcPr>
            <w:tcW w:w="1592" w:type="dxa"/>
          </w:tcPr>
          <w:p w:rsidRPr="00F70793" w:rsidR="00487B57" w:rsidP="00487B57" w:rsidRDefault="00487B57" w14:paraId="3E9DC1AB" w14:textId="77777777"/>
        </w:tc>
        <w:tc>
          <w:tcPr>
            <w:tcW w:w="1604" w:type="dxa"/>
          </w:tcPr>
          <w:p w:rsidRPr="00F70793" w:rsidR="00487B57" w:rsidP="00487B57" w:rsidRDefault="00487B57" w14:paraId="3E9DC1AD" w14:textId="77777777"/>
        </w:tc>
        <w:tc>
          <w:tcPr>
            <w:tcW w:w="1482" w:type="dxa"/>
          </w:tcPr>
          <w:p w:rsidRPr="00F70793" w:rsidR="00487B57" w:rsidP="00487B57" w:rsidRDefault="00487B57" w14:paraId="3E9DC1AE" w14:textId="292B7D2C"/>
        </w:tc>
        <w:tc>
          <w:tcPr>
            <w:tcW w:w="1711" w:type="dxa"/>
          </w:tcPr>
          <w:p w:rsidRPr="00F70793" w:rsidR="00487B57" w:rsidP="00487B57" w:rsidRDefault="00487B57" w14:paraId="574C2444" w14:textId="77777777"/>
        </w:tc>
        <w:tc>
          <w:tcPr>
            <w:tcW w:w="3251" w:type="dxa"/>
          </w:tcPr>
          <w:p w:rsidRPr="00F70793" w:rsidR="00487B57" w:rsidP="00487B57" w:rsidRDefault="00487B57" w14:paraId="3E9DC1AF" w14:textId="2FB1E933"/>
        </w:tc>
        <w:tc>
          <w:tcPr>
            <w:tcW w:w="2268" w:type="dxa"/>
          </w:tcPr>
          <w:p w:rsidRPr="00F70793" w:rsidR="00487B57" w:rsidP="00487B57" w:rsidRDefault="00487B57" w14:paraId="3E9DC1B0" w14:textId="77777777"/>
        </w:tc>
      </w:tr>
      <w:tr w:rsidRPr="00F70793" w:rsidR="00D6287C" w:rsidTr="006B0B38" w14:paraId="3E9DC1B9" w14:textId="77777777">
        <w:tc>
          <w:tcPr>
            <w:tcW w:w="1979" w:type="dxa"/>
          </w:tcPr>
          <w:p w:rsidRPr="00F70793" w:rsidR="00487B57" w:rsidP="00487B57" w:rsidRDefault="00487B57" w14:paraId="3E9DC1B2" w14:textId="77777777"/>
        </w:tc>
        <w:tc>
          <w:tcPr>
            <w:tcW w:w="1592" w:type="dxa"/>
          </w:tcPr>
          <w:p w:rsidRPr="00F70793" w:rsidR="00487B57" w:rsidP="00487B57" w:rsidRDefault="00487B57" w14:paraId="3E9DC1B3" w14:textId="77777777"/>
        </w:tc>
        <w:tc>
          <w:tcPr>
            <w:tcW w:w="1604" w:type="dxa"/>
          </w:tcPr>
          <w:p w:rsidRPr="00F70793" w:rsidR="00487B57" w:rsidP="00487B57" w:rsidRDefault="00487B57" w14:paraId="3E9DC1B5" w14:textId="77777777"/>
        </w:tc>
        <w:tc>
          <w:tcPr>
            <w:tcW w:w="1482" w:type="dxa"/>
          </w:tcPr>
          <w:p w:rsidRPr="00F70793" w:rsidR="00487B57" w:rsidP="00487B57" w:rsidRDefault="00487B57" w14:paraId="3E9DC1B6" w14:textId="0012A025"/>
        </w:tc>
        <w:tc>
          <w:tcPr>
            <w:tcW w:w="1711" w:type="dxa"/>
          </w:tcPr>
          <w:p w:rsidRPr="00F70793" w:rsidR="00487B57" w:rsidP="00487B57" w:rsidRDefault="00487B57" w14:paraId="7B27AE5D" w14:textId="77777777"/>
        </w:tc>
        <w:tc>
          <w:tcPr>
            <w:tcW w:w="3251" w:type="dxa"/>
          </w:tcPr>
          <w:p w:rsidRPr="00F70793" w:rsidR="00487B57" w:rsidP="00487B57" w:rsidRDefault="00487B57" w14:paraId="3E9DC1B7" w14:textId="1F181D45"/>
        </w:tc>
        <w:tc>
          <w:tcPr>
            <w:tcW w:w="2268" w:type="dxa"/>
          </w:tcPr>
          <w:p w:rsidRPr="00F70793" w:rsidR="00487B57" w:rsidP="00487B57" w:rsidRDefault="00487B57" w14:paraId="3E9DC1B8" w14:textId="77777777"/>
        </w:tc>
      </w:tr>
    </w:tbl>
    <w:p w:rsidR="00E52756" w:rsidP="0028754F" w:rsidRDefault="00E52756" w14:paraId="3E9DC1BA" w14:textId="47C41F64"/>
    <w:p w:rsidRPr="00DB2F2D" w:rsidR="00E16DA6" w:rsidP="00E16DA6" w:rsidRDefault="00E16DA6" w14:paraId="0BFEF1FC" w14:textId="77777777"/>
    <w:p w:rsidRPr="00DB2F2D" w:rsidR="00E16DA6" w:rsidP="00E16DA6" w:rsidRDefault="00E16DA6" w14:paraId="4E960991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E16DA6" w:rsidP="00E16DA6" w:rsidRDefault="00E16DA6" w14:paraId="6CF9E247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F70793" w:rsidR="00E16DA6" w:rsidP="0028754F" w:rsidRDefault="00E16DA6" w14:paraId="49F5174B" w14:textId="77777777">
      <w:bookmarkStart w:name="_GoBack" w:id="6"/>
      <w:bookmarkEnd w:id="6"/>
    </w:p>
    <w:sectPr w:rsidRPr="00F70793" w:rsidR="00E16DA6" w:rsidSect="00D96897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3-04T04:05:00Z" w:id="0">
    <w:p w:rsidR="00F705BE" w:rsidP="00F705BE" w:rsidRDefault="00F705BE" w14:paraId="5571A3B9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F705BE" w:rsidP="00F705BE" w:rsidRDefault="00F705BE" w14:paraId="03A2D5AA" w14:textId="77777777">
      <w:pPr>
        <w:pStyle w:val="CommentText"/>
      </w:pPr>
    </w:p>
    <w:p w:rsidR="00F705BE" w:rsidP="00F705BE" w:rsidRDefault="00F705BE" w14:paraId="0C2F6DA0" w14:textId="18EB8BFD">
      <w:pPr>
        <w:pStyle w:val="CommentText"/>
      </w:pPr>
      <w:r>
        <w:t>Nakon što ste izvršili unos, uglate zagrade trebate obrisati.</w:t>
      </w:r>
    </w:p>
  </w:comment>
  <w:comment w:initials="A" w:author="Advisera" w:date="2024-03-04T18:51:00Z" w:id="1">
    <w:p w:rsidRPr="00EF07F2" w:rsidR="00EF07F2" w:rsidP="00EF07F2" w:rsidRDefault="00EF07F2" w14:paraId="36B546CE" w14:textId="77777777">
      <w:pPr>
        <w:pStyle w:val="CommentText"/>
      </w:pPr>
      <w:r w:rsidRPr="00EF07F2">
        <w:rPr>
          <w:rStyle w:val="CommentReference"/>
        </w:rPr>
        <w:annotationRef/>
      </w:r>
      <w:r w:rsidRPr="00EF07F2">
        <w:rPr>
          <w:rStyle w:val="CommentReference"/>
        </w:rPr>
        <w:annotationRef/>
      </w:r>
      <w:r w:rsidRPr="00EF07F2">
        <w:t>Naučite više o mjerenju čitajući ove članke:</w:t>
      </w:r>
    </w:p>
    <w:p w:rsidRPr="00EF07F2" w:rsidR="00EF07F2" w:rsidP="00EF07F2" w:rsidRDefault="00EF07F2" w14:paraId="636A1F8E" w14:textId="77777777">
      <w:pPr>
        <w:pStyle w:val="CommentText"/>
      </w:pPr>
    </w:p>
    <w:p w:rsidRPr="00EF07F2" w:rsidR="00EF07F2" w:rsidP="00EF07F2" w:rsidRDefault="00EF07F2" w14:paraId="794978CD" w14:textId="77777777">
      <w:pPr>
        <w:pStyle w:val="CommentText"/>
        <w:numPr>
          <w:ilvl w:val="0"/>
          <w:numId w:val="15"/>
        </w:numPr>
        <w:ind w:left="0" w:firstLine="0"/>
      </w:pPr>
      <w:r w:rsidRPr="00EF07F2">
        <w:t xml:space="preserve"> How to perform monitoring and measurement in ISO 27001 </w:t>
      </w:r>
      <w:hyperlink w:history="1" r:id="rId1">
        <w:r w:rsidRPr="00EF07F2">
          <w:rPr>
            <w:rStyle w:val="Hyperlink"/>
            <w:lang w:val="hr-HR"/>
          </w:rPr>
          <w:t>https://advisera.com/27001academy/blog/2015/06/08/how-to-perform-monitoring-and-measurement-in-iso-27001/</w:t>
        </w:r>
      </w:hyperlink>
    </w:p>
    <w:p w:rsidRPr="00EF07F2" w:rsidR="00EF07F2" w:rsidP="00EF07F2" w:rsidRDefault="00EF07F2" w14:paraId="18FB183F" w14:textId="472F4BB4">
      <w:pPr>
        <w:pStyle w:val="CommentText"/>
        <w:numPr>
          <w:ilvl w:val="0"/>
          <w:numId w:val="15"/>
        </w:numPr>
        <w:ind w:left="0" w:firstLine="0"/>
      </w:pPr>
      <w:r w:rsidRPr="00EF07F2">
        <w:t xml:space="preserve"> Key performance indicators for an ISO 27001 ISMS </w:t>
      </w:r>
      <w:hyperlink w:history="1" r:id="rId2">
        <w:r w:rsidRPr="00EF07F2">
          <w:rPr>
            <w:rStyle w:val="Hyperlink"/>
            <w:lang w:val="hr-HR"/>
          </w:rPr>
          <w:t>https://advisera.com/27001academy/blog/2016/02/01/key-performance-indicators-for-an-iso-27001-isms/</w:t>
        </w:r>
      </w:hyperlink>
    </w:p>
  </w:comment>
  <w:comment w:initials="A" w:author="Advisera" w:date="2024-03-04T04:09:00Z" w:id="2">
    <w:p w:rsidR="00F705BE" w:rsidRDefault="00F705BE" w14:paraId="5E766140" w14:textId="5B8991ED">
      <w:pPr>
        <w:pStyle w:val="CommentText"/>
      </w:pPr>
      <w:r>
        <w:rPr>
          <w:rStyle w:val="CommentReference"/>
        </w:rPr>
        <w:annotationRef/>
      </w:r>
      <w:r>
        <w:t>Tko je nadležan za proučavanje i procjenjivanje rezultata mjerenja?</w:t>
      </w:r>
    </w:p>
    <w:p w:rsidR="00F705BE" w:rsidRDefault="00F705BE" w14:paraId="47B01341" w14:textId="6B718ED5">
      <w:pPr>
        <w:pStyle w:val="CommentText"/>
      </w:pPr>
    </w:p>
    <w:p w:rsidR="00F705BE" w:rsidRDefault="00F705BE" w14:paraId="7E8180FB" w14:textId="3A6F9427">
      <w:pPr>
        <w:pStyle w:val="CommentText"/>
      </w:pPr>
      <w:r>
        <w:t xml:space="preserve">To može biti posao </w:t>
      </w:r>
      <w:r w:rsidRPr="00F705BE">
        <w:t>glavn</w:t>
      </w:r>
      <w:r>
        <w:t>og</w:t>
      </w:r>
      <w:r w:rsidRPr="00F705BE">
        <w:t xml:space="preserve"> službenik</w:t>
      </w:r>
      <w:r>
        <w:t>a</w:t>
      </w:r>
      <w:r w:rsidRPr="00F705BE">
        <w:t xml:space="preserve"> za informacijsku sigurnost (CISO)</w:t>
      </w:r>
      <w:r>
        <w:t>, analitičara sigurnosti ili neke druge slične uloge.</w:t>
      </w:r>
    </w:p>
  </w:comment>
  <w:comment w:initials="A" w:author="Advisera" w:date="2024-03-04T04:12:00Z" w:id="3">
    <w:p w:rsidR="00F705BE" w:rsidP="00F705BE" w:rsidRDefault="00F705BE" w14:paraId="580FB7BD" w14:textId="77777777">
      <w:pPr>
        <w:pStyle w:val="CommentText"/>
      </w:pPr>
      <w:r>
        <w:rPr>
          <w:rStyle w:val="CommentReference"/>
        </w:rPr>
        <w:annotationRef/>
      </w:r>
      <w:r>
        <w:t>Za koje je područje vaše tvrtke cilj postavljen - to može biti samo jedna sigurnosna mjera (npr. sigurnosna kopija), jedan proces (npr. kontrola pristupa) ili jedan odjel (npr. IT odjel).</w:t>
      </w:r>
    </w:p>
    <w:p w:rsidR="00F705BE" w:rsidP="00F705BE" w:rsidRDefault="00F705BE" w14:paraId="6E08BB5A" w14:textId="77777777">
      <w:pPr>
        <w:pStyle w:val="CommentText"/>
      </w:pPr>
    </w:p>
    <w:p w:rsidR="00F705BE" w:rsidP="00F705BE" w:rsidRDefault="00F705BE" w14:paraId="75B6799E" w14:textId="600868E6">
      <w:pPr>
        <w:pStyle w:val="CommentText"/>
      </w:pPr>
      <w:r>
        <w:t>Cilj može biti postavljen i za cijeli ISMS.</w:t>
      </w:r>
    </w:p>
  </w:comment>
  <w:comment w:initials="A" w:author="Advisera" w:date="2024-03-04T04:15:00Z" w:id="4">
    <w:p w:rsidRPr="00506664" w:rsidR="00F705BE" w:rsidP="00F705BE" w:rsidRDefault="00F705BE" w14:paraId="682572B6" w14:textId="777777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06664">
        <w:t xml:space="preserve">Izvori za </w:t>
      </w:r>
      <w:r>
        <w:t xml:space="preserve">uzimanje </w:t>
      </w:r>
      <w:r w:rsidRPr="00506664">
        <w:t>ciljeve su:</w:t>
      </w:r>
    </w:p>
    <w:p w:rsidRPr="00506664" w:rsidR="00F705BE" w:rsidP="00F705BE" w:rsidRDefault="00F705BE" w14:paraId="7FAE95F1" w14:textId="77777777">
      <w:pPr>
        <w:pStyle w:val="CommentText"/>
      </w:pPr>
      <w:r w:rsidRPr="00506664">
        <w:t xml:space="preserve">- Politika informacijske sigurnosti - za ciljeve </w:t>
      </w:r>
      <w:r>
        <w:t xml:space="preserve">ISMS-a </w:t>
      </w:r>
      <w:r w:rsidRPr="00506664">
        <w:t>najviše razine</w:t>
      </w:r>
    </w:p>
    <w:p w:rsidRPr="00506664" w:rsidR="00F705BE" w:rsidP="00F705BE" w:rsidRDefault="00F705BE" w14:paraId="67BB38FB" w14:textId="77777777">
      <w:pPr>
        <w:pStyle w:val="CommentText"/>
      </w:pPr>
      <w:r w:rsidRPr="00506664">
        <w:t xml:space="preserve">- </w:t>
      </w:r>
      <w:r w:rsidRPr="00C11F10">
        <w:t>Izvješće o primjenjivosti</w:t>
      </w:r>
      <w:r w:rsidRPr="00506664">
        <w:t xml:space="preserve"> (SoA)</w:t>
      </w:r>
      <w:r>
        <w:t xml:space="preserve"> te sigurnosne politike i procedure</w:t>
      </w:r>
      <w:r w:rsidRPr="00506664">
        <w:t xml:space="preserve"> - za ciljeve </w:t>
      </w:r>
      <w:r>
        <w:t>sigurnosnih mjera</w:t>
      </w:r>
    </w:p>
    <w:p w:rsidRPr="00506664" w:rsidR="00F705BE" w:rsidP="00F705BE" w:rsidRDefault="00F705BE" w14:paraId="1485EDE5" w14:textId="77777777">
      <w:pPr>
        <w:pStyle w:val="CommentText"/>
      </w:pPr>
    </w:p>
    <w:p w:rsidRPr="00506664" w:rsidR="00F705BE" w:rsidP="00F705BE" w:rsidRDefault="00F705BE" w14:paraId="71043591" w14:textId="6D7EEA9A">
      <w:pPr>
        <w:pStyle w:val="CommentText"/>
      </w:pPr>
      <w:r>
        <w:t xml:space="preserve">Kako biste naučili </w:t>
      </w:r>
      <w:r w:rsidR="00BE39CC">
        <w:t>na koji način</w:t>
      </w:r>
      <w:r>
        <w:t xml:space="preserve"> utvrditi ciljeve, pogledajte:</w:t>
      </w:r>
    </w:p>
    <w:p w:rsidR="00F705BE" w:rsidRDefault="00F705BE" w14:paraId="08B469C2" w14:textId="164AF770">
      <w:pPr>
        <w:pStyle w:val="CommentText"/>
      </w:pPr>
      <w:r w:rsidRPr="00745223">
        <w:t xml:space="preserve">ISO 27001 control objectives – Why are they important? </w:t>
      </w:r>
      <w:hyperlink w:history="1" r:id="rId3">
        <w:r w:rsidRPr="00C11F10">
          <w:rPr>
            <w:rStyle w:val="Hyperlink"/>
            <w:lang w:val="hr-HR"/>
          </w:rPr>
          <w:t>https://advisera.com/27001academy/blog/2012/04/10/iso-27001-control-objectives-why-are-they-important/</w:t>
        </w:r>
      </w:hyperlink>
    </w:p>
  </w:comment>
  <w:comment w:initials="A" w:author="Advisera" w:date="2024-03-04T18:52:00Z" w:id="5">
    <w:p w:rsidR="00EF07F2" w:rsidRDefault="00EF07F2" w14:paraId="326B4DD3" w14:textId="587426F4">
      <w:pPr>
        <w:pStyle w:val="CommentText"/>
      </w:pPr>
      <w:r>
        <w:rPr>
          <w:rStyle w:val="CommentReference"/>
        </w:rPr>
        <w:annotationRef/>
      </w:r>
      <w:r>
        <w:t>Ovo su samo primjeri. Morate ispuniti ove stupce podacima svoje tvrtke.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C2F6DA0" w15:done="0"/>
  <w15:commentEx w15:paraId="18FB183F" w15:done="0"/>
  <w15:commentEx w15:paraId="7E8180FB" w15:done="0"/>
  <w15:commentEx w15:paraId="75B6799E" w15:done="0"/>
  <w15:commentEx w15:paraId="08B469C2" w15:done="0"/>
  <w15:commentEx w15:paraId="326B4DD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EE02" w16cex:dateUtc="2017-11-15T21:32:00Z"/>
  <w16cex:commentExtensible w16cex:durableId="2612EE03" w16cex:dateUtc="2017-08-26T16:20:00Z"/>
  <w16cex:commentExtensible w16cex:durableId="2612EE04" w16cex:dateUtc="2017-08-26T16:21:00Z"/>
  <w16cex:commentExtensible w16cex:durableId="2612EE05" w16cex:dateUtc="2017-11-16T20:16:00Z"/>
  <w16cex:commentExtensible w16cex:durableId="2612EE06" w16cex:dateUtc="2017-08-26T16:23:00Z"/>
  <w16cex:commentExtensible w16cex:durableId="2612EE07" w16cex:dateUtc="2017-11-15T22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2F6DA0" w16cid:durableId="298FC70E"/>
  <w16cid:commentId w16cid:paraId="18FB183F" w16cid:durableId="299096A7"/>
  <w16cid:commentId w16cid:paraId="7E8180FB" w16cid:durableId="298FC80B"/>
  <w16cid:commentId w16cid:paraId="75B6799E" w16cid:durableId="298FC8B7"/>
  <w16cid:commentId w16cid:paraId="08B469C2" w16cid:durableId="298FC979"/>
  <w16cid:commentId w16cid:paraId="326B4DD3" w16cid:durableId="299096F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CD8" w:rsidP="00CE6770" w:rsidRDefault="00331CD8" w14:paraId="7660CEEA" w14:textId="77777777">
      <w:pPr>
        <w:spacing w:after="0" w:line="240" w:lineRule="auto"/>
      </w:pPr>
      <w:r>
        <w:separator/>
      </w:r>
    </w:p>
  </w:endnote>
  <w:endnote w:type="continuationSeparator" w:id="0">
    <w:p w:rsidR="00331CD8" w:rsidP="00CE6770" w:rsidRDefault="00331CD8" w14:paraId="3612837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56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2880"/>
      <w:gridCol w:w="8496"/>
      <w:gridCol w:w="2880"/>
    </w:tblGrid>
    <w:tr w:rsidRPr="00627056" w:rsidR="00627056" w:rsidTr="00D96897" w14:paraId="3E9DC1D6" w14:textId="77777777">
      <w:tc>
        <w:tcPr>
          <w:tcW w:w="2880" w:type="dxa"/>
        </w:tcPr>
        <w:p w:rsidRPr="00627056" w:rsidR="00B850D3" w:rsidP="00670110" w:rsidRDefault="00C11F10" w14:paraId="3E9DC1D3" w14:textId="2E34BD9B">
          <w:pPr>
            <w:rPr>
              <w:sz w:val="18"/>
              <w:szCs w:val="18"/>
            </w:rPr>
          </w:pPr>
          <w:r w:rsidRPr="00627056">
            <w:rPr>
              <w:sz w:val="18"/>
              <w:szCs w:val="18"/>
            </w:rPr>
            <w:t>Izvješće o mjerenju</w:t>
          </w:r>
        </w:p>
      </w:tc>
      <w:tc>
        <w:tcPr>
          <w:tcW w:w="8496" w:type="dxa"/>
        </w:tcPr>
        <w:p w:rsidRPr="00627056" w:rsidR="00B850D3" w:rsidP="00670110" w:rsidRDefault="00D96897" w14:paraId="3E9DC1D4" w14:textId="45B64687">
          <w:pPr>
            <w:pStyle w:val="Footer"/>
            <w:jc w:val="center"/>
            <w:rPr>
              <w:sz w:val="18"/>
              <w:szCs w:val="18"/>
            </w:rPr>
          </w:pPr>
          <w:r w:rsidRPr="00D96897">
            <w:rPr>
              <w:sz w:val="18"/>
            </w:rPr>
            <w:t>ver [brojčana oznaka verzije dokumenta] od [datum verzije]</w:t>
          </w:r>
        </w:p>
      </w:tc>
      <w:tc>
        <w:tcPr>
          <w:tcW w:w="2880" w:type="dxa"/>
        </w:tcPr>
        <w:p w:rsidRPr="00627056" w:rsidR="00B850D3" w:rsidP="00670110" w:rsidRDefault="00670110" w14:paraId="3E9DC1D5" w14:textId="40665DC1">
          <w:pPr>
            <w:pStyle w:val="Footer"/>
            <w:jc w:val="right"/>
            <w:rPr>
              <w:b/>
              <w:sz w:val="18"/>
              <w:szCs w:val="18"/>
            </w:rPr>
          </w:pPr>
          <w:r w:rsidRPr="00627056">
            <w:rPr>
              <w:sz w:val="18"/>
            </w:rPr>
            <w:t>Stranica</w:t>
          </w:r>
          <w:r w:rsidRPr="00627056" w:rsidR="00B850D3">
            <w:rPr>
              <w:sz w:val="18"/>
            </w:rPr>
            <w:t xml:space="preserve"> </w:t>
          </w:r>
          <w:r w:rsidRPr="00627056" w:rsidR="00B850D3">
            <w:rPr>
              <w:b/>
              <w:sz w:val="18"/>
            </w:rPr>
            <w:fldChar w:fldCharType="begin"/>
          </w:r>
          <w:r w:rsidRPr="00627056" w:rsidR="00B850D3">
            <w:rPr>
              <w:b/>
              <w:sz w:val="18"/>
            </w:rPr>
            <w:instrText xml:space="preserve"> PAGE </w:instrText>
          </w:r>
          <w:r w:rsidRPr="00627056" w:rsidR="00B850D3">
            <w:rPr>
              <w:b/>
              <w:sz w:val="18"/>
            </w:rPr>
            <w:fldChar w:fldCharType="separate"/>
          </w:r>
          <w:r w:rsidR="00331CD8">
            <w:rPr>
              <w:b/>
              <w:noProof/>
              <w:sz w:val="18"/>
            </w:rPr>
            <w:t>1</w:t>
          </w:r>
          <w:r w:rsidRPr="00627056" w:rsidR="00B850D3">
            <w:rPr>
              <w:b/>
              <w:sz w:val="18"/>
            </w:rPr>
            <w:fldChar w:fldCharType="end"/>
          </w:r>
          <w:r w:rsidRPr="00627056" w:rsidR="00B850D3">
            <w:rPr>
              <w:sz w:val="18"/>
            </w:rPr>
            <w:t xml:space="preserve"> </w:t>
          </w:r>
          <w:r w:rsidRPr="00627056">
            <w:rPr>
              <w:sz w:val="18"/>
            </w:rPr>
            <w:t>od</w:t>
          </w:r>
          <w:r w:rsidRPr="00627056" w:rsidR="00B850D3">
            <w:rPr>
              <w:sz w:val="18"/>
            </w:rPr>
            <w:t xml:space="preserve"> </w:t>
          </w:r>
          <w:r w:rsidRPr="00627056" w:rsidR="00B850D3">
            <w:rPr>
              <w:b/>
              <w:sz w:val="18"/>
            </w:rPr>
            <w:fldChar w:fldCharType="begin"/>
          </w:r>
          <w:r w:rsidRPr="00627056" w:rsidR="00B850D3">
            <w:rPr>
              <w:b/>
              <w:sz w:val="18"/>
            </w:rPr>
            <w:instrText xml:space="preserve"> NUMPAGES  </w:instrText>
          </w:r>
          <w:r w:rsidRPr="00627056" w:rsidR="00B850D3">
            <w:rPr>
              <w:b/>
              <w:sz w:val="18"/>
            </w:rPr>
            <w:fldChar w:fldCharType="separate"/>
          </w:r>
          <w:r w:rsidR="00331CD8">
            <w:rPr>
              <w:b/>
              <w:noProof/>
              <w:sz w:val="18"/>
            </w:rPr>
            <w:t>1</w:t>
          </w:r>
          <w:r w:rsidRPr="00627056" w:rsidR="00B850D3">
            <w:rPr>
              <w:b/>
              <w:sz w:val="18"/>
            </w:rPr>
            <w:fldChar w:fldCharType="end"/>
          </w:r>
        </w:p>
      </w:tc>
    </w:tr>
  </w:tbl>
  <w:p w:rsidRPr="00627056" w:rsidR="00B850D3" w:rsidP="00426552" w:rsidRDefault="00426552" w14:paraId="3E9DC1D7" w14:textId="3EEC6BF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26552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D96897" w:rsidR="00B850D3" w:rsidP="00D96897" w:rsidRDefault="00D96897" w14:paraId="3E9DC1D8" w14:textId="770CDBF5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D96897">
      <w:rPr>
        <w:rFonts w:eastAsia="Times New Roman"/>
        <w:sz w:val="16"/>
      </w:rPr>
      <w:t>©2024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CD8" w:rsidP="00CE6770" w:rsidRDefault="00331CD8" w14:paraId="47C399D5" w14:textId="77777777">
      <w:pPr>
        <w:spacing w:after="0" w:line="240" w:lineRule="auto"/>
      </w:pPr>
      <w:r>
        <w:separator/>
      </w:r>
    </w:p>
  </w:footnote>
  <w:footnote w:type="continuationSeparator" w:id="0">
    <w:p w:rsidR="00331CD8" w:rsidP="00CE6770" w:rsidRDefault="00331CD8" w14:paraId="0804DDA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56" w:type="dxa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7128"/>
      <w:gridCol w:w="7128"/>
    </w:tblGrid>
    <w:tr w:rsidRPr="006571EC" w:rsidR="00B850D3" w:rsidTr="00D96897" w14:paraId="3E9DC1D1" w14:textId="77777777">
      <w:trPr>
        <w:trHeight w:val="321"/>
      </w:trPr>
      <w:tc>
        <w:tcPr>
          <w:tcW w:w="7128" w:type="dxa"/>
        </w:tcPr>
        <w:p w:rsidRPr="00670110" w:rsidR="00B850D3" w:rsidP="00670110" w:rsidRDefault="00D96897" w14:paraId="3E9DC1CF" w14:textId="57B49BA3">
          <w:pPr>
            <w:pStyle w:val="Header"/>
            <w:spacing w:after="0"/>
            <w:rPr>
              <w:sz w:val="20"/>
              <w:szCs w:val="20"/>
            </w:rPr>
          </w:pPr>
          <w:r w:rsidRPr="00D96897">
            <w:rPr>
              <w:sz w:val="20"/>
            </w:rPr>
            <w:t>[naziv tvrtke]</w:t>
          </w:r>
        </w:p>
      </w:tc>
      <w:tc>
        <w:tcPr>
          <w:tcW w:w="7128" w:type="dxa"/>
        </w:tcPr>
        <w:p w:rsidRPr="006571EC" w:rsidR="00B850D3" w:rsidP="00D45875" w:rsidRDefault="00D96897" w14:paraId="3E9DC1D0" w14:textId="114E84D4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D96897">
            <w:rPr>
              <w:sz w:val="20"/>
            </w:rPr>
            <w:t>[oznaka povjerljivosti]</w:t>
          </w:r>
        </w:p>
      </w:tc>
    </w:tr>
  </w:tbl>
  <w:p w:rsidRPr="003056B2" w:rsidR="00B850D3" w:rsidP="00CE6770" w:rsidRDefault="00B850D3" w14:paraId="3E9DC1D2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E540D"/>
    <w:multiLevelType w:val="hybridMultilevel"/>
    <w:tmpl w:val="66E48E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A4691B"/>
    <w:multiLevelType w:val="hybridMultilevel"/>
    <w:tmpl w:val="0A9ED3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3"/>
  </w:num>
  <w:num w:numId="9">
    <w:abstractNumId w:val="7"/>
  </w:num>
  <w:num w:numId="10">
    <w:abstractNumId w:val="6"/>
  </w:num>
  <w:num w:numId="11">
    <w:abstractNumId w:val="11"/>
  </w:num>
  <w:num w:numId="12">
    <w:abstractNumId w:val="10"/>
  </w:num>
  <w:num w:numId="13">
    <w:abstractNumId w:val="12"/>
  </w:num>
  <w:num w:numId="14">
    <w:abstractNumId w:val="9"/>
  </w:num>
  <w:num w:numId="15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0MjAzNjY2tTAxNzdU0lEKTi0uzszPAykwrgUAlPB1gCwAAAA="/>
  </w:docVars>
  <w:rsids>
    <w:rsidRoot w:val="00927DFD"/>
    <w:rsid w:val="0001568D"/>
    <w:rsid w:val="00020971"/>
    <w:rsid w:val="000225DC"/>
    <w:rsid w:val="0002462A"/>
    <w:rsid w:val="00033A59"/>
    <w:rsid w:val="00035228"/>
    <w:rsid w:val="00040E0E"/>
    <w:rsid w:val="0004319E"/>
    <w:rsid w:val="00046FA1"/>
    <w:rsid w:val="00050005"/>
    <w:rsid w:val="00050E05"/>
    <w:rsid w:val="0005546F"/>
    <w:rsid w:val="000A0CDC"/>
    <w:rsid w:val="000A31E5"/>
    <w:rsid w:val="000A70FE"/>
    <w:rsid w:val="000A7661"/>
    <w:rsid w:val="000B168F"/>
    <w:rsid w:val="000E2189"/>
    <w:rsid w:val="000F4C76"/>
    <w:rsid w:val="00102EDB"/>
    <w:rsid w:val="00111FB7"/>
    <w:rsid w:val="0012627B"/>
    <w:rsid w:val="001532D4"/>
    <w:rsid w:val="00162726"/>
    <w:rsid w:val="00193ABF"/>
    <w:rsid w:val="00195830"/>
    <w:rsid w:val="001A08D2"/>
    <w:rsid w:val="001A7047"/>
    <w:rsid w:val="001A746E"/>
    <w:rsid w:val="001B12F9"/>
    <w:rsid w:val="001B1E14"/>
    <w:rsid w:val="001B4CE7"/>
    <w:rsid w:val="001B79D6"/>
    <w:rsid w:val="001D7493"/>
    <w:rsid w:val="001F4894"/>
    <w:rsid w:val="001F66C9"/>
    <w:rsid w:val="00223A0B"/>
    <w:rsid w:val="00241F1F"/>
    <w:rsid w:val="0024708B"/>
    <w:rsid w:val="00264F9A"/>
    <w:rsid w:val="00271AB4"/>
    <w:rsid w:val="002731D2"/>
    <w:rsid w:val="002760B8"/>
    <w:rsid w:val="0028754F"/>
    <w:rsid w:val="00297C27"/>
    <w:rsid w:val="002A6D29"/>
    <w:rsid w:val="002B7C29"/>
    <w:rsid w:val="002C372C"/>
    <w:rsid w:val="002C54D2"/>
    <w:rsid w:val="002D2C56"/>
    <w:rsid w:val="002D355C"/>
    <w:rsid w:val="002D78A7"/>
    <w:rsid w:val="00322CC9"/>
    <w:rsid w:val="0032723F"/>
    <w:rsid w:val="00331CD8"/>
    <w:rsid w:val="00331F95"/>
    <w:rsid w:val="003331A9"/>
    <w:rsid w:val="003360B4"/>
    <w:rsid w:val="00355B1D"/>
    <w:rsid w:val="003740D5"/>
    <w:rsid w:val="00376148"/>
    <w:rsid w:val="003829E5"/>
    <w:rsid w:val="003A7DCA"/>
    <w:rsid w:val="003B43A6"/>
    <w:rsid w:val="003F3F9A"/>
    <w:rsid w:val="003F55C2"/>
    <w:rsid w:val="00402095"/>
    <w:rsid w:val="00413F1F"/>
    <w:rsid w:val="00426552"/>
    <w:rsid w:val="00431C83"/>
    <w:rsid w:val="00436068"/>
    <w:rsid w:val="00437421"/>
    <w:rsid w:val="00443A5B"/>
    <w:rsid w:val="004473CD"/>
    <w:rsid w:val="004664E5"/>
    <w:rsid w:val="00474CFD"/>
    <w:rsid w:val="00476260"/>
    <w:rsid w:val="00482AEB"/>
    <w:rsid w:val="004876A5"/>
    <w:rsid w:val="004878FC"/>
    <w:rsid w:val="00487B57"/>
    <w:rsid w:val="00497CBA"/>
    <w:rsid w:val="004A3ED4"/>
    <w:rsid w:val="004C2E39"/>
    <w:rsid w:val="00501F64"/>
    <w:rsid w:val="00503C2C"/>
    <w:rsid w:val="00504687"/>
    <w:rsid w:val="005204E3"/>
    <w:rsid w:val="005209C0"/>
    <w:rsid w:val="005357F2"/>
    <w:rsid w:val="00542D45"/>
    <w:rsid w:val="00551FD4"/>
    <w:rsid w:val="00567542"/>
    <w:rsid w:val="00567A01"/>
    <w:rsid w:val="0057101D"/>
    <w:rsid w:val="005763D5"/>
    <w:rsid w:val="00584525"/>
    <w:rsid w:val="00590620"/>
    <w:rsid w:val="005B599A"/>
    <w:rsid w:val="005E30DC"/>
    <w:rsid w:val="005E653C"/>
    <w:rsid w:val="00607267"/>
    <w:rsid w:val="0062169F"/>
    <w:rsid w:val="00627056"/>
    <w:rsid w:val="0062756B"/>
    <w:rsid w:val="006300F1"/>
    <w:rsid w:val="006342AF"/>
    <w:rsid w:val="00660E54"/>
    <w:rsid w:val="00670110"/>
    <w:rsid w:val="00673629"/>
    <w:rsid w:val="00687B12"/>
    <w:rsid w:val="0069106A"/>
    <w:rsid w:val="00693729"/>
    <w:rsid w:val="006B0B38"/>
    <w:rsid w:val="006C0F69"/>
    <w:rsid w:val="006D3B29"/>
    <w:rsid w:val="006D4B76"/>
    <w:rsid w:val="006E3A33"/>
    <w:rsid w:val="006F3F45"/>
    <w:rsid w:val="006F49BF"/>
    <w:rsid w:val="00745223"/>
    <w:rsid w:val="00745899"/>
    <w:rsid w:val="00752044"/>
    <w:rsid w:val="00754910"/>
    <w:rsid w:val="00757E33"/>
    <w:rsid w:val="00767EFD"/>
    <w:rsid w:val="00771001"/>
    <w:rsid w:val="007800D7"/>
    <w:rsid w:val="00780998"/>
    <w:rsid w:val="0078565A"/>
    <w:rsid w:val="00790899"/>
    <w:rsid w:val="007939AC"/>
    <w:rsid w:val="007B06D4"/>
    <w:rsid w:val="007C7897"/>
    <w:rsid w:val="007F67CD"/>
    <w:rsid w:val="008046E9"/>
    <w:rsid w:val="00807E31"/>
    <w:rsid w:val="0081353E"/>
    <w:rsid w:val="0082704F"/>
    <w:rsid w:val="00830882"/>
    <w:rsid w:val="00833205"/>
    <w:rsid w:val="008518EB"/>
    <w:rsid w:val="00851B45"/>
    <w:rsid w:val="008617DA"/>
    <w:rsid w:val="008645DF"/>
    <w:rsid w:val="00865420"/>
    <w:rsid w:val="00871A42"/>
    <w:rsid w:val="00874AF9"/>
    <w:rsid w:val="00883471"/>
    <w:rsid w:val="00891429"/>
    <w:rsid w:val="00893AD8"/>
    <w:rsid w:val="0089786F"/>
    <w:rsid w:val="008A01CC"/>
    <w:rsid w:val="008A74A9"/>
    <w:rsid w:val="008B4E94"/>
    <w:rsid w:val="008B616E"/>
    <w:rsid w:val="008D2959"/>
    <w:rsid w:val="008D76E6"/>
    <w:rsid w:val="008E0A60"/>
    <w:rsid w:val="008E37F2"/>
    <w:rsid w:val="008F63C0"/>
    <w:rsid w:val="008F7EDC"/>
    <w:rsid w:val="009051AF"/>
    <w:rsid w:val="00927DFD"/>
    <w:rsid w:val="00942122"/>
    <w:rsid w:val="0096097E"/>
    <w:rsid w:val="00972F61"/>
    <w:rsid w:val="009802C1"/>
    <w:rsid w:val="009829F1"/>
    <w:rsid w:val="0099129D"/>
    <w:rsid w:val="009A0472"/>
    <w:rsid w:val="009A67E3"/>
    <w:rsid w:val="009C644F"/>
    <w:rsid w:val="009D13B4"/>
    <w:rsid w:val="009E5C48"/>
    <w:rsid w:val="009E7A9A"/>
    <w:rsid w:val="00A01EFC"/>
    <w:rsid w:val="00A06B21"/>
    <w:rsid w:val="00A134AC"/>
    <w:rsid w:val="00A13EB6"/>
    <w:rsid w:val="00A20E6E"/>
    <w:rsid w:val="00A319AA"/>
    <w:rsid w:val="00A31FBE"/>
    <w:rsid w:val="00A81475"/>
    <w:rsid w:val="00A8198F"/>
    <w:rsid w:val="00A87716"/>
    <w:rsid w:val="00AA15F1"/>
    <w:rsid w:val="00AA6E35"/>
    <w:rsid w:val="00AB5676"/>
    <w:rsid w:val="00AD23CB"/>
    <w:rsid w:val="00AE0C7D"/>
    <w:rsid w:val="00AF0158"/>
    <w:rsid w:val="00AF19CE"/>
    <w:rsid w:val="00B02CE3"/>
    <w:rsid w:val="00B0782A"/>
    <w:rsid w:val="00B1007E"/>
    <w:rsid w:val="00B10EC3"/>
    <w:rsid w:val="00B221F5"/>
    <w:rsid w:val="00B255F3"/>
    <w:rsid w:val="00B34386"/>
    <w:rsid w:val="00B45BFF"/>
    <w:rsid w:val="00B65B4D"/>
    <w:rsid w:val="00B74011"/>
    <w:rsid w:val="00B74DFC"/>
    <w:rsid w:val="00B767DD"/>
    <w:rsid w:val="00B83306"/>
    <w:rsid w:val="00B850D3"/>
    <w:rsid w:val="00BB6B3A"/>
    <w:rsid w:val="00BC2BF7"/>
    <w:rsid w:val="00BC742A"/>
    <w:rsid w:val="00BE39CC"/>
    <w:rsid w:val="00C11F10"/>
    <w:rsid w:val="00C21081"/>
    <w:rsid w:val="00C22666"/>
    <w:rsid w:val="00C53E2B"/>
    <w:rsid w:val="00C611E2"/>
    <w:rsid w:val="00C63036"/>
    <w:rsid w:val="00C74D95"/>
    <w:rsid w:val="00C876EC"/>
    <w:rsid w:val="00C92183"/>
    <w:rsid w:val="00C92E23"/>
    <w:rsid w:val="00C96B4E"/>
    <w:rsid w:val="00CB5370"/>
    <w:rsid w:val="00CE6770"/>
    <w:rsid w:val="00CE6EB2"/>
    <w:rsid w:val="00D00BE5"/>
    <w:rsid w:val="00D03BC5"/>
    <w:rsid w:val="00D0589F"/>
    <w:rsid w:val="00D121F6"/>
    <w:rsid w:val="00D13416"/>
    <w:rsid w:val="00D31447"/>
    <w:rsid w:val="00D343A2"/>
    <w:rsid w:val="00D3650B"/>
    <w:rsid w:val="00D45875"/>
    <w:rsid w:val="00D55D98"/>
    <w:rsid w:val="00D62559"/>
    <w:rsid w:val="00D6287C"/>
    <w:rsid w:val="00D71BD8"/>
    <w:rsid w:val="00D96897"/>
    <w:rsid w:val="00DB2AF2"/>
    <w:rsid w:val="00DC0BC4"/>
    <w:rsid w:val="00DC58E0"/>
    <w:rsid w:val="00DC7E8C"/>
    <w:rsid w:val="00DD4894"/>
    <w:rsid w:val="00DD5F01"/>
    <w:rsid w:val="00E01378"/>
    <w:rsid w:val="00E12DDB"/>
    <w:rsid w:val="00E16DA6"/>
    <w:rsid w:val="00E21EE4"/>
    <w:rsid w:val="00E26F56"/>
    <w:rsid w:val="00E27F4A"/>
    <w:rsid w:val="00E373A5"/>
    <w:rsid w:val="00E5092E"/>
    <w:rsid w:val="00E52756"/>
    <w:rsid w:val="00E5330C"/>
    <w:rsid w:val="00E542A9"/>
    <w:rsid w:val="00E54E80"/>
    <w:rsid w:val="00E56499"/>
    <w:rsid w:val="00E60C13"/>
    <w:rsid w:val="00E63644"/>
    <w:rsid w:val="00E83F00"/>
    <w:rsid w:val="00EA032B"/>
    <w:rsid w:val="00EA5DB7"/>
    <w:rsid w:val="00EB2A8F"/>
    <w:rsid w:val="00EB4BEC"/>
    <w:rsid w:val="00EB7391"/>
    <w:rsid w:val="00ED0675"/>
    <w:rsid w:val="00ED6F26"/>
    <w:rsid w:val="00EE0328"/>
    <w:rsid w:val="00EE19C3"/>
    <w:rsid w:val="00EE1F48"/>
    <w:rsid w:val="00EE70B4"/>
    <w:rsid w:val="00EF07F2"/>
    <w:rsid w:val="00F06886"/>
    <w:rsid w:val="00F0751D"/>
    <w:rsid w:val="00F23393"/>
    <w:rsid w:val="00F34081"/>
    <w:rsid w:val="00F3504D"/>
    <w:rsid w:val="00F37138"/>
    <w:rsid w:val="00F705BE"/>
    <w:rsid w:val="00F70793"/>
    <w:rsid w:val="00F72013"/>
    <w:rsid w:val="00F76C36"/>
    <w:rsid w:val="00F80CA8"/>
    <w:rsid w:val="00F80D00"/>
    <w:rsid w:val="00F92FD4"/>
    <w:rsid w:val="00FA2B1E"/>
    <w:rsid w:val="00FA6E49"/>
    <w:rsid w:val="00FB3E44"/>
    <w:rsid w:val="00FB456C"/>
    <w:rsid w:val="00FC0A45"/>
    <w:rsid w:val="00FC0EED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9DC189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89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270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04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8270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2704F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C11F1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11F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1F1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</w:rPr>
  </w:style>
  <w:style w:type="paragraph" w:styleId="NoSpacing">
    <w:name w:val="No Spacing"/>
    <w:uiPriority w:val="1"/>
    <w:qFormat/>
    <w:rsid w:val="00D96897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57101D"/>
    <w:rPr>
      <w:sz w:val="22"/>
      <w:szCs w:val="22"/>
      <w:lang w:val="en-US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62756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8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2/04/10/iso-27001-control-objectives-why-are-they-important/" TargetMode="External" Id="rId3" /><Relationship Type="http://schemas.openxmlformats.org/officeDocument/2006/relationships/hyperlink" Target="https://advisera.com/27001academy/blog/2016/02/01/key-performance-indicators-for-an-iso-27001-isms/" TargetMode="External" Id="rId2" /><Relationship Type="http://schemas.openxmlformats.org/officeDocument/2006/relationships/hyperlink" Target="https://advisera.com/27001academy/blog/2015/06/08/how-to-perform-monitoring-and-measurement-in-iso-270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microsoft.com/office/2018/08/relationships/commentsExtensible" Target="/word/commentsExtensible.xml" Id="rId20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18E73-D1EB-4B0E-A5F7-805FEA9CF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Izvješće o mjerenju</vt:lpstr>
      <vt:lpstr>Appendix 1 – Matrix of Key Performance Indicators</vt:lpstr>
      <vt:lpstr>Appendix 2 - Internal Audit Report</vt:lpstr>
    </vt:vector>
  </TitlesOfParts>
  <Company>Advisera Expert Solutions d.o.o.</Company>
  <LinksUpToDate>false</LinksUpToDate>
  <CharactersWithSpaces>1220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mjerenju</dc:title>
  <dc:subject>27001-FTMEASREP-HR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2024-10-25T09:27:00Z</dcterms:created>
  <dcterms:modified xsi:type="dcterms:W3CDTF">2024-10-25T09:27:00Z</dcterms:modified>
</cp:coreProperties>
</file>